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80"/>
        </w:tabs>
        <w:adjustRightInd w:val="0"/>
        <w:snapToGrid w:val="0"/>
        <w:spacing w:line="600" w:lineRule="exact"/>
        <w:ind w:right="420" w:rightChars="200"/>
        <w:rPr>
          <w:rFonts w:eastAsia="黑体"/>
          <w:color w:val="000000"/>
          <w:sz w:val="32"/>
          <w:szCs w:val="32"/>
        </w:rPr>
      </w:pPr>
      <w:bookmarkStart w:id="0" w:name="_GoBack"/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  <w:r>
        <w:rPr>
          <w:rFonts w:eastAsia="黑体"/>
          <w:color w:val="000000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随机抽取100个</w:t>
      </w:r>
      <w:r>
        <w:rPr>
          <w:rFonts w:hint="eastAsia" w:eastAsia="仿宋_GB2312"/>
          <w:kern w:val="0"/>
          <w:sz w:val="32"/>
          <w:szCs w:val="32"/>
        </w:rPr>
        <w:t>用人单位名单</w:t>
      </w:r>
    </w:p>
    <w:bookmarkEnd w:id="0"/>
    <w:tbl>
      <w:tblPr>
        <w:tblStyle w:val="2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905"/>
        <w:gridCol w:w="388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首瑞（天津）电气设备有限公司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天津宝坻塑料制品工业区潮阳东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>路17号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安泰天龙钨钼科技有限公司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天津市宝坻区西环北路与中关村大道交口中关村协同发展中心2号楼202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天津劝宝超市有限责任公司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宝坻区城关镇南关大街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上工富怡智能制造（天津）有限公司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天津宝坻经济开发区宝中道6号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博格华纳汽车零部件（天津）有限公司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天津空港经济区东九道36号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政通智慧城市运营科技有限公司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天津自贸试验区（空港经济区）中环西路与西四道交口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中铁十八局集团建筑安装工程有限公司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空港经济区环河北路80号东园9-508-509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天津正天医疗器械有限公司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天津空港经济区经一路318号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天津市松正电动科技有限公司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天津自贸试验区（空港经济区）西十道1号A座厂房3楼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中国天辰工程有限公司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北辰区京津公路1号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乐金电子(天津)电器有限公司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天津北辰科技园区津围公路9号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普利司通（天津）轮胎有限公司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天津市北辰区天津北辰经济技术开发区双立路2号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天津市天发重型水电设备制造有限公司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天津市北辰区天津高端装备制造产业园永兴道106号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中重科技（天津）股份有限公司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北辰区科技园区环外发展区高新大道65号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天津精华石化有限公司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天津市滨海新区大港天津石化公司院内化纤路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天津华强富城建筑安装工程有限公司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天津市滨海新区大港世纪大道194号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中国石油集团渤海钻探工程有限公司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天津开发区黄海路106号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科迈化工股份有限公司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天津市滨海新区大港古林街工业区海欣路72号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天津新日机电有限公司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大港区经济开发区万象路A区502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天津铁路信号有限责任公司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天津市东丽区驯海路1199号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天津安达物流股份有限公司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东丽区二经路7号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天津赛瑞机器设备有限公司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天津市东丽区津塘公路天津钢管公司院内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上海优尔蓝信息科技有限公司天津东丽分公司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天津市东丽区华明高新技术产业区金地企业总部A区A座670室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北京京诚京安保安服务有限公司天津分公司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东丽区新立村驯海路西海星道正11号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中国电建市政建设集团有限公司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华苑产业区榕苑路2号4-2101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塔塔信息技术（中国）股份有限公司天津分公司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海泰发展六道6号海泰绿色产业基地G座6层610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天津同阳科技发展有限公司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天津滨海高新区华苑产业区兰苑路五号A座-702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招商局公路网络科技控股股份有限公司京津塘高速天津分公司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南开区水上公园路大安翠薇园A-303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29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天津中达国际经济技术合作有限公司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天津滨海高新区华苑产业区梅苑路9号9号楼4门1107单元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天津精准互动科技有限公司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天津滨海高新区华苑产业区开华道20号允公科技园F座-0-2101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天津长芦汉沽盐场有限责任公司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天津市滨海新区汉沽国家庄街28号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天津天德减震器有限公司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汉沽区新开北路5号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中国石化润滑油有限公司润滑脂分公司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天津市滨海新区汉沽化工街5号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天津渤天化工有限责任公司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天津市滨海新区汉沽新开南路营城东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天津创业环保集团股份有限公司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天津市和平区贵州路45号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津燃华润燃气有限公司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和平区吴家窑二号路44号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天津市华夏未来幼儿教育集团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和平区长沙路60号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北京外企市场营销顾问有限公司天津分公司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和平区福安大街与庆善大街交口金茂广场2号楼1605室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39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天津市城市规划设计研究总院有限公司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天津市和平区承德道4、8号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天津二建建筑工程有限公司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河北区元纬路二马路82号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天津中车机辆装备有限公司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天津市河北区南口路22号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天津快客利食品科技咨询有限公司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天津市河北区光复道街胜利路405号（中央商务区A座一层）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天津市柯林楼宇物业管理有限公司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天津市河北区王串场一号路清水园内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中铁六局集团天津铁路建设有限公司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天津市河北区昆纬路34号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天津天钢集团有限公司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河东区张达庄大道1号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天津三建建筑工程有限公司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河东区八纬北路17号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天津自行车厂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河东区六纬路201号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天津蓝巢电力检修有限公司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河东区七纬路三号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49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杭州今元标矩科技有限公司天津河东分公司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天津市河东区九纬路103号901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天津冶金集团轧一制钢有限公司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天津市河西区围堤道124号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天津桂发祥十八街麻花食品股份有限公司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天津市河西区洞庭路32号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中水北方勘测设计研究有限责任公司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天津市河西区洞庭路60号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中国大地财产保险股份有限公司天津分公司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天津市河西区解放南路283号创展大厦23、24层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天津国兴医疗健康管理有限公司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天津市河西区黑牛城道与洪泽南路交口东南侧三诚里26-214-A04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深圳捷信信驰咨询有限公司红桥分公司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天津市红桥区北马路170号天津陆家嘴金融广场A座2-10层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玉禾田环境发展集团股份有限公司天津红桥分公司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天津市红桥区咸阳路19号中保财信大厦9层906室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天津猿力教育科技有限公司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天津市红桥区北马路172号401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天津市蓟州区津诚供电服务有限公司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天津市蓟县渔阳镇东一环路2号526室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59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碧桂园生活服务集团股份有限公司天津第一分公司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天津市津南区八里台镇工业园区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天津荣程联合钢铁集团有限公司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津南区葛沽冶金工业园区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天津荣程祥矿产有限公司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津南区葛沽工业园区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中铁三局集团天津建设工程有限公司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津南经济开发区（西区）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北京金地格林物业管理有限公司天津分公司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津南区双港经济发展服务中心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天津友发钢管集团股份有限公司第二分公司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天津市静海县大邱庄镇百亿道33号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天津爱玛车业科技有限公司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天津市静海经济开发区南区爱玛路5号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皮阿诺家居（天津）有限公司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天津市静海经济开发区北区3号路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天津广通汽车有限公司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天津子牙循环经济产业园区重庆道26号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天津市宝来工贸有限公司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大邱庄海河道6号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69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中粮可口可乐饮料(天津)有限公司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天津经济开发区第二大街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天津阿尔卑斯电子有限公司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天津开发区微电子工业区微七路1号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天津七一二通信广播股份有限公司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天津开发区西区北大街141号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中交海洋建设开发有限公司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天津自贸试验区（东疆）亚洲路6865号北1-1-1306-1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诺博汽车系统有限公司天津分公司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天津开发区西区南大街99号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天津市公交集团第三客运有限公司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南开区长江道289号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天津大学建筑设计规划研究总院有限公司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南开区鞍山西道192-1895天大建筑创意大厦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北京恒富物业服务有限公司天津分公司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南开区二马路龙凤市场内9号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天津新东方培训学校有限公司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天津市南开区西市大街与广开大街交口故里花园21号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上海一橙网络科技股份有限公司天津分公司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天津市南开区卫津南路109号京燕大厦B座2010-2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79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天津市新天钢联合特钢有限公司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宁河县经济开发区五纬路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天津市宁河津诚供电服务有限公司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天津市宁河县经济开发区二经路72号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国网天津市电力公司宁河供电分公司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天津市宁河区新华道20号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天津津德制钢有限公司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天津市宁河区经济开发区六经路8号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天津微淼财商科技有限公司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天津市宁河区现代产业区富民街11号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欧德亮汽车灯系统科技（天津）有限公司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天津新技术产业园区武清开发区新兴路1号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中国水电基础局有限公司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天津市武清区建设北路1号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天津京津高速公路有限公司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天津武清开发区泉发路30号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滔搏运动服饰（天津）有限公司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天津市武清区京津电子商务产业园宏瑞道33号1号楼102室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神铁二号线（天津）轨道交通运营有限公司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天津市武清区杨村街道泉州北路31号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89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中建钢构天津有限公司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天津西青高端金属制品工业区盛达五支路18号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中色（天津）特种材料有限公司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天津市西青区中北镇紫光路86号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91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天津东洋油墨有限公司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天津市西青经济开发区兴华二支路12号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92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电装（天津）马达有限公司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天津市西青经济技术开发区赛达四支路2号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93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天津一汽夏利运营管理有限责任公司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天津市西青区中北镇京福公路578号二区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94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天津大沽化工投资发展有限公司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天津市塘沽区兴化道1号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95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民航机场建设工程有限公司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天津市滨海新区塘沽新港2号路173号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96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天津保安华宝护卫押运有限公司第三分公司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天津滨海高新区塘沽海洋科技园乐山道725号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97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天津港生活服务有限公司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天津市塘沽区新港二号路35号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98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天津市塘沽永利工程有限公司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塘沽区新华路87号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99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天津医药集团太平医药有限公司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和平区新华路201号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100</w:t>
            </w:r>
          </w:p>
        </w:tc>
        <w:tc>
          <w:tcPr>
            <w:tcW w:w="4905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天津市自来水集团有限公司</w:t>
            </w:r>
          </w:p>
        </w:tc>
        <w:tc>
          <w:tcPr>
            <w:tcW w:w="3884" w:type="dxa"/>
            <w:shd w:val="clear" w:color="auto" w:fill="auto"/>
            <w:noWrap w:val="0"/>
            <w:vAlign w:val="center"/>
          </w:tcPr>
          <w:p>
            <w:pPr>
              <w:spacing w:line="600" w:lineRule="exact"/>
            </w:pPr>
            <w:r>
              <w:rPr>
                <w:rFonts w:hint="eastAsia"/>
              </w:rPr>
              <w:t>天津市和平区建设路54号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60B39"/>
    <w:rsid w:val="2AD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2021-07-14T08:14:00Z</dcterms:created>
  <dc:creator>Administrator</dc:creator>
  <cp:lastModifiedBy>Administrator</cp:lastModifiedBy>
  <dcterms:modified xsi:type="dcterms:W3CDTF">2021-07-14T08:14:29Z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