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Calibri" w:eastAsia="方正仿宋简体" w:cs="Times New Roman"/>
          <w:sz w:val="34"/>
          <w:szCs w:val="34"/>
        </w:rPr>
      </w:pPr>
    </w:p>
    <w:p>
      <w:pPr>
        <w:spacing w:line="600" w:lineRule="exact"/>
        <w:rPr>
          <w:rFonts w:ascii="方正黑体简体" w:hAnsi="Calibri" w:eastAsia="方正黑体简体" w:cs="Times New Roman"/>
          <w:sz w:val="34"/>
          <w:szCs w:val="34"/>
        </w:rPr>
      </w:pPr>
      <w:r>
        <w:rPr>
          <w:rFonts w:hint="eastAsia" w:ascii="方正黑体简体" w:hAnsi="Calibri" w:eastAsia="方正黑体简体" w:cs="Times New Roman"/>
          <w:sz w:val="34"/>
          <w:szCs w:val="34"/>
        </w:rPr>
        <w:t>附件1</w:t>
      </w:r>
      <w:r>
        <w:rPr>
          <w:rFonts w:hint="eastAsia" w:ascii="方正黑体简体" w:hAnsi="Calibri" w:eastAsia="方正黑体简体" w:cs="Times New Roman"/>
          <w:sz w:val="34"/>
          <w:szCs w:val="34"/>
          <w:lang w:val="en-US" w:eastAsia="zh-CN"/>
        </w:rPr>
        <w:t>-1</w:t>
      </w:r>
      <w:bookmarkStart w:id="0" w:name="_GoBack"/>
      <w:bookmarkEnd w:id="0"/>
      <w:r>
        <w:rPr>
          <w:rFonts w:hint="eastAsia" w:ascii="方正黑体简体" w:hAnsi="Calibri" w:eastAsia="方正黑体简体" w:cs="Times New Roman"/>
          <w:sz w:val="34"/>
          <w:szCs w:val="34"/>
        </w:rPr>
        <w:t xml:space="preserve">：       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《食品经营许可证》办理指南</w:t>
      </w:r>
    </w:p>
    <w:p>
      <w:pPr>
        <w:spacing w:line="600" w:lineRule="exact"/>
        <w:ind w:firstLine="680" w:firstLineChars="200"/>
        <w:rPr>
          <w:rFonts w:ascii="方正仿宋简体" w:hAnsi="黑体" w:eastAsia="方正仿宋简体" w:cs="Times New Roman"/>
          <w:sz w:val="34"/>
          <w:szCs w:val="34"/>
        </w:rPr>
      </w:pPr>
    </w:p>
    <w:p>
      <w:pPr>
        <w:spacing w:line="600" w:lineRule="exact"/>
        <w:ind w:firstLine="680" w:firstLineChars="200"/>
        <w:rPr>
          <w:rFonts w:ascii="方正黑体简体" w:hAnsi="黑体" w:eastAsia="方正黑体简体" w:cs="Times New Roman"/>
          <w:sz w:val="34"/>
          <w:szCs w:val="34"/>
        </w:rPr>
      </w:pPr>
      <w:r>
        <w:rPr>
          <w:rFonts w:hint="eastAsia" w:ascii="方正黑体简体" w:hAnsi="黑体" w:eastAsia="方正黑体简体" w:cs="Times New Roman"/>
          <w:sz w:val="34"/>
          <w:szCs w:val="34"/>
        </w:rPr>
        <w:t>一、办理地点</w:t>
      </w:r>
    </w:p>
    <w:p>
      <w:pPr>
        <w:spacing w:line="600" w:lineRule="exact"/>
        <w:ind w:firstLine="680" w:firstLineChars="200"/>
        <w:rPr>
          <w:rFonts w:ascii="方正仿宋简体" w:hAnsi="宋体" w:eastAsia="方正仿宋简体" w:cs="Times New Roman"/>
          <w:sz w:val="34"/>
          <w:szCs w:val="34"/>
        </w:rPr>
      </w:pPr>
      <w:r>
        <w:rPr>
          <w:rFonts w:hint="eastAsia" w:ascii="方正仿宋简体" w:hAnsi="宋体" w:eastAsia="方正仿宋简体" w:cs="Times New Roman"/>
          <w:sz w:val="34"/>
          <w:szCs w:val="34"/>
        </w:rPr>
        <w:t>本辖区所在地的市场监管所均可办理。</w:t>
      </w:r>
    </w:p>
    <w:p>
      <w:pPr>
        <w:spacing w:line="600" w:lineRule="exact"/>
        <w:ind w:firstLine="680" w:firstLineChars="200"/>
        <w:rPr>
          <w:rFonts w:ascii="方正黑体简体" w:hAnsi="黑体" w:eastAsia="方正黑体简体" w:cs="Times New Roman"/>
          <w:sz w:val="34"/>
          <w:szCs w:val="34"/>
        </w:rPr>
      </w:pPr>
      <w:r>
        <w:rPr>
          <w:rFonts w:hint="eastAsia" w:ascii="方正黑体简体" w:hAnsi="黑体" w:eastAsia="方正黑体简体" w:cs="Times New Roman"/>
          <w:sz w:val="34"/>
          <w:szCs w:val="34"/>
        </w:rPr>
        <w:t>二、办理流程</w:t>
      </w:r>
    </w:p>
    <w:p>
      <w:pPr>
        <w:spacing w:line="600" w:lineRule="exact"/>
        <w:ind w:firstLine="680" w:firstLineChars="200"/>
        <w:rPr>
          <w:rFonts w:ascii="方正仿宋简体" w:hAnsi="宋体" w:eastAsia="方正仿宋简体" w:cs="Times New Roman"/>
          <w:kern w:val="0"/>
          <w:sz w:val="34"/>
          <w:szCs w:val="34"/>
        </w:rPr>
      </w:pPr>
      <w:r>
        <w:rPr>
          <w:rFonts w:hint="eastAsia" w:ascii="方正仿宋简体" w:hAnsi="Calibri" w:eastAsia="方正仿宋简体" w:cs="Times New Roman"/>
          <w:kern w:val="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231140</wp:posOffset>
                </wp:positionV>
                <wp:extent cx="457200" cy="0"/>
                <wp:effectExtent l="6350" t="58420" r="22225" b="558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6.85pt;margin-top:18.2pt;height:0pt;width:36pt;z-index:251661312;mso-width-relative:page;mso-height-relative:page;" filled="f" stroked="t" coordsize="21600,21600" o:gfxdata="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K1R1tkAAAAJ&#10;AQAADwAAAAAAAAABACAAAAAiAAAAZHJzL2Rvd25yZXYueG1sUEsBAhQAFAAAAAgAh07iQHZLA83i&#10;AQAAiQ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Calibri" w:eastAsia="方正仿宋简体" w:cs="Times New Roman"/>
          <w:kern w:val="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221615</wp:posOffset>
                </wp:positionV>
                <wp:extent cx="457200" cy="0"/>
                <wp:effectExtent l="6350" t="58420" r="22225" b="558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5.85pt;margin-top:17.45pt;height:0pt;width:36pt;z-index:251660288;mso-width-relative:page;mso-height-relative:page;" filled="f" stroked="t" coordsize="21600,21600" o:gfxdata="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To3C42QAAAAkB&#10;AAAPAAAAAAAAAAEAIAAAACIAAABkcnMvZG93bnJldi54bWxQSwECFAAUAAAACACHTuJAyhlBtuEB&#10;AACJ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Calibri" w:eastAsia="方正仿宋简体" w:cs="Times New Roman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236855</wp:posOffset>
                </wp:positionV>
                <wp:extent cx="457200" cy="0"/>
                <wp:effectExtent l="6350" t="54610" r="22225" b="5969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6pt;margin-top:18.65pt;height:0pt;width:36pt;z-index:251659264;mso-width-relative:page;mso-height-relative:page;" filled="f" stroked="t" coordsize="21600,21600" o:gfxdata="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fV9PtkAAAAJAQAA&#10;DwAAAAAAAAABACAAAAAiAAAAZHJzL2Rvd25yZXYueG1sUEsBAhQAFAAAAAgAh07iQA7uhzvfAQAA&#10;iQMAAA4AAAAAAAAAAQAgAAAAKA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宋体" w:eastAsia="方正仿宋简体" w:cs="Times New Roman"/>
          <w:kern w:val="0"/>
          <w:sz w:val="34"/>
          <w:szCs w:val="34"/>
        </w:rPr>
        <w:t>许可申请      受理（书式审查）     现场核查     审批发证。</w:t>
      </w:r>
    </w:p>
    <w:p>
      <w:pPr>
        <w:spacing w:line="600" w:lineRule="exact"/>
        <w:ind w:firstLine="680" w:firstLineChars="200"/>
        <w:rPr>
          <w:rFonts w:ascii="方正黑体简体" w:hAnsi="黑体" w:eastAsia="方正黑体简体" w:cs="Times New Roman"/>
          <w:sz w:val="34"/>
          <w:szCs w:val="34"/>
        </w:rPr>
      </w:pPr>
      <w:r>
        <w:rPr>
          <w:rFonts w:hint="eastAsia" w:ascii="方正黑体简体" w:hAnsi="黑体" w:eastAsia="方正黑体简体" w:cs="Times New Roman"/>
          <w:sz w:val="34"/>
          <w:szCs w:val="34"/>
        </w:rPr>
        <w:t>三、提交的材料</w:t>
      </w:r>
    </w:p>
    <w:p>
      <w:pPr>
        <w:spacing w:line="600" w:lineRule="exact"/>
        <w:ind w:firstLine="680" w:firstLineChars="200"/>
        <w:rPr>
          <w:rFonts w:ascii="方正仿宋简体" w:hAnsi="Calibri" w:eastAsia="方正仿宋简体" w:cs="Times New Roman"/>
          <w:kern w:val="0"/>
          <w:sz w:val="34"/>
          <w:szCs w:val="34"/>
        </w:rPr>
      </w:pPr>
      <w:r>
        <w:rPr>
          <w:rFonts w:hint="eastAsia" w:ascii="方正仿宋简体" w:hAnsi="宋体" w:eastAsia="方正仿宋简体" w:cs="Times New Roman"/>
          <w:kern w:val="0"/>
          <w:sz w:val="34"/>
          <w:szCs w:val="34"/>
        </w:rPr>
        <w:t>（一）食品经营许可申请书；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ascii="方正仿宋简体" w:hAnsi="Calibri" w:eastAsia="方正仿宋简体" w:cs="Times New Roman"/>
          <w:kern w:val="0"/>
          <w:sz w:val="34"/>
          <w:szCs w:val="34"/>
        </w:rPr>
      </w:pPr>
      <w:r>
        <w:rPr>
          <w:rFonts w:hint="eastAsia" w:ascii="方正仿宋简体" w:hAnsi="宋体" w:eastAsia="方正仿宋简体" w:cs="Times New Roman"/>
          <w:kern w:val="0"/>
          <w:sz w:val="34"/>
          <w:szCs w:val="34"/>
        </w:rPr>
        <w:t xml:space="preserve">    （二）营业执照复印件或者其他主体资格证明文件复印件（机关、事业单位、社会团体、民办非企业单位等申办单位食堂的，应提交机关或者事业单位法人登记证、社会团体登记证等有关主体资格证明文件复印件）；</w:t>
      </w:r>
    </w:p>
    <w:p>
      <w:pPr>
        <w:autoSpaceDE w:val="0"/>
        <w:autoSpaceDN w:val="0"/>
        <w:adjustRightInd w:val="0"/>
        <w:spacing w:line="600" w:lineRule="exact"/>
        <w:ind w:firstLine="680" w:firstLineChars="200"/>
        <w:jc w:val="left"/>
        <w:rPr>
          <w:rFonts w:ascii="方正仿宋简体" w:hAnsi="Calibri" w:eastAsia="方正仿宋简体" w:cs="Times New Roman"/>
          <w:kern w:val="0"/>
          <w:sz w:val="34"/>
          <w:szCs w:val="34"/>
        </w:rPr>
      </w:pPr>
      <w:r>
        <w:rPr>
          <w:rFonts w:hint="eastAsia" w:ascii="方正仿宋简体" w:hAnsi="宋体" w:eastAsia="方正仿宋简体" w:cs="Times New Roman"/>
          <w:kern w:val="0"/>
          <w:sz w:val="34"/>
          <w:szCs w:val="34"/>
        </w:rPr>
        <w:t>（三）与食品经营相适应的主要设备设施布局图(空间布局应当体现出食品与非食品、散装食品与预包装食品进行明确的分区)和操作流程等文件；</w:t>
      </w:r>
    </w:p>
    <w:p>
      <w:pPr>
        <w:autoSpaceDE w:val="0"/>
        <w:autoSpaceDN w:val="0"/>
        <w:adjustRightInd w:val="0"/>
        <w:spacing w:line="600" w:lineRule="exact"/>
        <w:ind w:firstLine="680" w:firstLineChars="200"/>
        <w:jc w:val="left"/>
        <w:rPr>
          <w:rFonts w:ascii="方正仿宋简体" w:hAnsi="Calibri" w:eastAsia="方正仿宋简体" w:cs="Times New Roman"/>
          <w:kern w:val="0"/>
          <w:sz w:val="34"/>
          <w:szCs w:val="34"/>
        </w:rPr>
      </w:pPr>
      <w:r>
        <w:rPr>
          <w:rFonts w:hint="eastAsia" w:ascii="方正仿宋简体" w:hAnsi="宋体" w:eastAsia="方正仿宋简体" w:cs="Times New Roman"/>
          <w:kern w:val="0"/>
          <w:sz w:val="34"/>
          <w:szCs w:val="34"/>
        </w:rPr>
        <w:t>（四）食品安全自查与报告、从业人员健康管理、进货查验记录、食品安全事故处置等保证食品安全的规章制度；</w:t>
      </w:r>
    </w:p>
    <w:p>
      <w:pPr>
        <w:autoSpaceDE w:val="0"/>
        <w:autoSpaceDN w:val="0"/>
        <w:adjustRightInd w:val="0"/>
        <w:spacing w:line="600" w:lineRule="exact"/>
        <w:ind w:firstLine="680" w:firstLineChars="200"/>
        <w:jc w:val="left"/>
        <w:rPr>
          <w:rFonts w:ascii="方正仿宋简体" w:hAnsi="Calibri" w:eastAsia="方正仿宋简体" w:cs="Times New Roman"/>
          <w:kern w:val="0"/>
          <w:sz w:val="34"/>
          <w:szCs w:val="34"/>
        </w:rPr>
      </w:pPr>
      <w:r>
        <w:rPr>
          <w:rFonts w:hint="eastAsia" w:ascii="方正仿宋简体" w:hAnsi="宋体" w:eastAsia="方正仿宋简体" w:cs="Times New Roman"/>
          <w:kern w:val="0"/>
          <w:sz w:val="34"/>
          <w:szCs w:val="34"/>
        </w:rPr>
        <w:t>（五）申请人委托他人办理食品经营许可申请的，代理人应当提交授权委托书以及代理人的身份证明文件。申请材料为复印件的，申请人应在提交的复印件上注明“提交复印件与原件一致”，并签名或者盖章。</w:t>
      </w:r>
    </w:p>
    <w:p>
      <w:pPr>
        <w:spacing w:line="600" w:lineRule="exact"/>
        <w:rPr>
          <w:rFonts w:ascii="方正仿宋简体" w:hAnsi="Calibri" w:eastAsia="方正仿宋简体" w:cs="Times New Roman"/>
          <w:sz w:val="34"/>
          <w:szCs w:val="34"/>
        </w:rPr>
      </w:pPr>
      <w:r>
        <w:rPr>
          <w:rFonts w:hint="eastAsia" w:ascii="方正仿宋简体" w:hAnsi="黑体" w:eastAsia="方正仿宋简体" w:cs="Times New Roman"/>
          <w:sz w:val="34"/>
          <w:szCs w:val="34"/>
        </w:rPr>
        <w:t xml:space="preserve">     </w:t>
      </w:r>
      <w:r>
        <w:rPr>
          <w:rFonts w:hint="eastAsia" w:ascii="方正仿宋简体" w:hAnsi="宋体" w:eastAsia="方正仿宋简体" w:cs="Times New Roman"/>
          <w:sz w:val="34"/>
          <w:szCs w:val="34"/>
        </w:rPr>
        <w:t>（六）管理制度模板（见</w:t>
      </w:r>
      <w:r>
        <w:rPr>
          <w:rFonts w:ascii="方正仿宋简体" w:hAnsi="宋体" w:eastAsia="方正仿宋简体" w:cs="Times New Roman"/>
          <w:sz w:val="34"/>
          <w:szCs w:val="34"/>
        </w:rPr>
        <w:t>附件</w:t>
      </w:r>
      <w:r>
        <w:rPr>
          <w:rFonts w:hint="eastAsia" w:ascii="方正仿宋简体" w:hAnsi="宋体" w:eastAsia="方正仿宋简体" w:cs="Times New Roman"/>
          <w:sz w:val="34"/>
          <w:szCs w:val="34"/>
        </w:rPr>
        <w:t>2）。</w:t>
      </w:r>
    </w:p>
    <w:p>
      <w:pPr>
        <w:spacing w:line="600" w:lineRule="exact"/>
        <w:ind w:firstLine="680" w:firstLineChars="200"/>
        <w:rPr>
          <w:rFonts w:ascii="方正黑体简体" w:hAnsi="黑体" w:eastAsia="方正黑体简体" w:cs="Times New Roman"/>
          <w:sz w:val="34"/>
          <w:szCs w:val="34"/>
        </w:rPr>
      </w:pPr>
      <w:r>
        <w:rPr>
          <w:rFonts w:hint="eastAsia" w:ascii="方正黑体简体" w:hAnsi="黑体" w:eastAsia="方正黑体简体" w:cs="Times New Roman"/>
          <w:sz w:val="34"/>
          <w:szCs w:val="34"/>
        </w:rPr>
        <w:t>四、硬件设施要求</w:t>
      </w:r>
    </w:p>
    <w:p>
      <w:pPr>
        <w:spacing w:line="600" w:lineRule="exact"/>
        <w:rPr>
          <w:rFonts w:ascii="方正仿宋简体" w:hAnsi="Calibri" w:eastAsia="方正仿宋简体" w:cs="Times New Roman"/>
          <w:sz w:val="34"/>
          <w:szCs w:val="34"/>
        </w:rPr>
      </w:pPr>
      <w:r>
        <w:rPr>
          <w:rFonts w:hint="eastAsia" w:ascii="方正仿宋简体" w:hAnsi="黑体" w:eastAsia="方正仿宋简体" w:cs="Times New Roman"/>
          <w:sz w:val="34"/>
          <w:szCs w:val="34"/>
        </w:rPr>
        <w:t xml:space="preserve">   </w:t>
      </w:r>
      <w:r>
        <w:rPr>
          <w:rFonts w:hint="eastAsia" w:ascii="方正仿宋简体" w:hAnsi="宋体" w:eastAsia="方正仿宋简体" w:cs="Times New Roman"/>
          <w:sz w:val="34"/>
          <w:szCs w:val="34"/>
        </w:rPr>
        <w:t xml:space="preserve"> </w:t>
      </w:r>
      <w:r>
        <w:rPr>
          <w:rFonts w:hint="eastAsia" w:ascii="方正仿宋简体" w:hAnsi="宋体" w:eastAsia="方正仿宋简体" w:cs="Times New Roman"/>
          <w:kern w:val="0"/>
          <w:sz w:val="34"/>
          <w:szCs w:val="34"/>
        </w:rPr>
        <w:t>（一）具有与经营的食品品种、数量相适应的食品原料处理和食品加工、销售、贮存等场所，保持该场所环境整洁，并与有毒、有害场所以及其他污染源保持规定的距离。</w:t>
      </w:r>
      <w:r>
        <w:rPr>
          <w:rFonts w:hint="eastAsia" w:ascii="方正仿宋简体" w:hAnsi="宋体" w:eastAsia="方正仿宋简体" w:cs="宋体"/>
          <w:color w:val="000000"/>
          <w:kern w:val="0"/>
          <w:sz w:val="34"/>
          <w:szCs w:val="34"/>
          <w:lang w:val="zh-CN"/>
        </w:rPr>
        <w:t>加工经营场所面积比例，根据经营品种、数量及食品安全风险高低等因素确定，</w:t>
      </w:r>
      <w:r>
        <w:rPr>
          <w:rFonts w:hint="eastAsia" w:ascii="方正仿宋简体" w:hAnsi="宋体" w:eastAsia="方正仿宋简体" w:cs="宋体"/>
          <w:color w:val="000000"/>
          <w:kern w:val="0"/>
          <w:sz w:val="34"/>
          <w:szCs w:val="34"/>
        </w:rPr>
        <w:t>单位食堂食品处理区面积不小于30</w:t>
      </w:r>
      <w:r>
        <w:rPr>
          <w:rFonts w:hint="eastAsia" w:ascii="方正仿宋简体" w:hAnsi="宋体" w:eastAsia="方正仿宋简体" w:cs="Times New Roman"/>
          <w:color w:val="000000"/>
          <w:kern w:val="0"/>
          <w:sz w:val="34"/>
          <w:szCs w:val="34"/>
        </w:rPr>
        <w:t>平方米，</w:t>
      </w:r>
      <w:r>
        <w:rPr>
          <w:rFonts w:hint="eastAsia" w:ascii="方正仿宋简体" w:hAnsi="宋体" w:eastAsia="方正仿宋简体" w:cs="宋体"/>
          <w:color w:val="000000"/>
          <w:kern w:val="0"/>
          <w:sz w:val="34"/>
          <w:szCs w:val="34"/>
        </w:rPr>
        <w:t>集中备餐的食堂</w:t>
      </w:r>
      <w:r>
        <w:rPr>
          <w:rFonts w:hint="eastAsia" w:ascii="方正仿宋简体" w:hAnsi="宋体" w:eastAsia="方正仿宋简体" w:cs="宋体"/>
          <w:color w:val="000000"/>
          <w:kern w:val="0"/>
          <w:sz w:val="34"/>
          <w:szCs w:val="34"/>
          <w:lang w:val="zh-CN"/>
        </w:rPr>
        <w:t>应当设专用操作场所。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ascii="方正仿宋简体" w:hAnsi="Calibri" w:eastAsia="方正仿宋简体" w:cs="Times New Roman"/>
          <w:kern w:val="0"/>
          <w:sz w:val="34"/>
          <w:szCs w:val="34"/>
        </w:rPr>
      </w:pPr>
      <w:r>
        <w:rPr>
          <w:rFonts w:hint="eastAsia" w:ascii="方正仿宋简体" w:hAnsi="宋体" w:eastAsia="方正仿宋简体" w:cs="Times New Roman"/>
          <w:kern w:val="0"/>
          <w:sz w:val="34"/>
          <w:szCs w:val="34"/>
        </w:rPr>
        <w:t>　　（二）具有与经营的食品品种、数量相适应的经营设备或者设施，有相应的消毒、更衣、盥洗、采光、照明、通风、防腐、防尘、防蝇、防鼠、防虫、洗涤以及处理废水、存放垃圾和废弃物的设备或者设施；</w:t>
      </w:r>
      <w:r>
        <w:rPr>
          <w:rFonts w:hint="eastAsia" w:ascii="方正仿宋简体" w:hAnsi="宋体" w:eastAsia="方正仿宋简体" w:cs="宋体"/>
          <w:color w:val="000000"/>
          <w:kern w:val="0"/>
          <w:sz w:val="34"/>
          <w:szCs w:val="34"/>
          <w:lang w:val="zh-CN"/>
        </w:rPr>
        <w:t>单位食堂应当配备留样专用容器和冷藏设施，以及留样管理人员。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ascii="方正仿宋简体" w:hAnsi="Calibri" w:eastAsia="方正仿宋简体" w:cs="Times New Roman"/>
          <w:kern w:val="0"/>
          <w:sz w:val="34"/>
          <w:szCs w:val="34"/>
        </w:rPr>
      </w:pPr>
      <w:r>
        <w:rPr>
          <w:rFonts w:hint="eastAsia" w:ascii="方正仿宋简体" w:hAnsi="宋体" w:eastAsia="方正仿宋简体" w:cs="Times New Roman"/>
          <w:kern w:val="0"/>
          <w:sz w:val="34"/>
          <w:szCs w:val="34"/>
        </w:rPr>
        <w:t>　　（三）有专职的食品安全管理人员和保证食品安全的规章制度。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ascii="方正仿宋简体" w:hAnsi="Calibri" w:eastAsia="方正仿宋简体" w:cs="Times New Roman"/>
          <w:kern w:val="0"/>
          <w:sz w:val="34"/>
          <w:szCs w:val="34"/>
        </w:rPr>
      </w:pPr>
      <w:r>
        <w:rPr>
          <w:rFonts w:hint="eastAsia" w:ascii="方正仿宋简体" w:hAnsi="宋体" w:eastAsia="方正仿宋简体" w:cs="Times New Roman"/>
          <w:kern w:val="0"/>
          <w:sz w:val="34"/>
          <w:szCs w:val="34"/>
        </w:rPr>
        <w:t>　　（四）具有合理的设备布局和工艺流程，防止待加工食品与直接入口食品、原料与成品交叉污染，避免食品接触有毒物、不洁物。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ascii="方正仿宋简体" w:hAnsi="Calibri" w:eastAsia="方正仿宋简体" w:cs="Times New Roman"/>
          <w:kern w:val="0"/>
          <w:sz w:val="34"/>
          <w:szCs w:val="34"/>
        </w:rPr>
      </w:pPr>
      <w:r>
        <w:rPr>
          <w:rFonts w:hint="eastAsia" w:ascii="方正仿宋简体" w:hAnsi="宋体" w:eastAsia="方正仿宋简体" w:cs="Times New Roman"/>
          <w:kern w:val="0"/>
          <w:sz w:val="34"/>
          <w:szCs w:val="34"/>
        </w:rPr>
        <w:t xml:space="preserve">    （五）</w:t>
      </w:r>
      <w:r>
        <w:rPr>
          <w:rFonts w:hint="eastAsia" w:ascii="方正仿宋简体" w:hAnsi="宋体" w:eastAsia="方正仿宋简体" w:cs="宋体"/>
          <w:kern w:val="0"/>
          <w:sz w:val="34"/>
          <w:szCs w:val="34"/>
          <w:lang w:val="zh-CN"/>
        </w:rPr>
        <w:t>冷食类食品、生食类食品及裱花蛋糕等应当分别设立相应的制作专间。</w:t>
      </w:r>
      <w:r>
        <w:rPr>
          <w:rFonts w:hint="eastAsia" w:ascii="方正仿宋简体" w:hAnsi="宋体" w:eastAsia="方正仿宋简体" w:cs="Times New Roman"/>
          <w:sz w:val="34"/>
          <w:szCs w:val="34"/>
        </w:rPr>
        <w:t>鲜榨果蔬汁、冷饮乳饮品和蔬果拼盘，需设置专用操作场所。</w:t>
      </w:r>
      <w:r>
        <w:rPr>
          <w:rFonts w:hint="eastAsia" w:ascii="方正仿宋简体" w:hAnsi="宋体" w:eastAsia="方正仿宋简体" w:cs="宋体"/>
          <w:color w:val="000000"/>
          <w:kern w:val="0"/>
          <w:sz w:val="34"/>
          <w:szCs w:val="34"/>
          <w:lang w:val="zh-CN"/>
        </w:rPr>
        <w:t>更衣场所与加工经营场所应当处于同一建筑内，食品处理区内不得设置厕所。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ascii="方正仿宋简体" w:hAnsi="Calibri" w:eastAsia="方正仿宋简体" w:cs="宋体"/>
          <w:color w:val="000000"/>
          <w:kern w:val="0"/>
          <w:sz w:val="34"/>
          <w:szCs w:val="34"/>
          <w:lang w:val="zh-CN"/>
        </w:rPr>
      </w:pPr>
      <w:r>
        <w:rPr>
          <w:rFonts w:hint="eastAsia" w:ascii="方正仿宋简体" w:hAnsi="宋体" w:eastAsia="方正仿宋简体" w:cs="Times New Roman"/>
          <w:kern w:val="0"/>
          <w:sz w:val="34"/>
          <w:szCs w:val="34"/>
        </w:rPr>
        <w:t xml:space="preserve">    （六）</w:t>
      </w:r>
      <w:r>
        <w:rPr>
          <w:rFonts w:hint="eastAsia" w:ascii="方正仿宋简体" w:hAnsi="宋体" w:eastAsia="方正仿宋简体" w:cs="宋体"/>
          <w:color w:val="000000"/>
          <w:kern w:val="0"/>
          <w:sz w:val="34"/>
          <w:szCs w:val="34"/>
          <w:lang w:val="zh-CN"/>
        </w:rPr>
        <w:t>使用直接接触食品的设备、工具、容器、包装材料及一次性餐饮应当具有产品合格证明</w:t>
      </w:r>
      <w:r>
        <w:rPr>
          <w:rFonts w:hint="eastAsia" w:ascii="方正仿宋简体" w:hAnsi="宋体" w:eastAsia="方正仿宋简体" w:cs="宋体"/>
          <w:color w:val="000000"/>
          <w:kern w:val="0"/>
          <w:sz w:val="34"/>
          <w:szCs w:val="34"/>
        </w:rPr>
        <w:t>。</w:t>
      </w:r>
      <w:r>
        <w:rPr>
          <w:rFonts w:hint="eastAsia" w:ascii="方正仿宋简体" w:hAnsi="宋体" w:eastAsia="方正仿宋简体" w:cs="宋体"/>
          <w:color w:val="000000"/>
          <w:kern w:val="0"/>
          <w:sz w:val="34"/>
          <w:szCs w:val="34"/>
          <w:lang w:val="zh-CN"/>
        </w:rPr>
        <w:t>用水应当符合国家规定的生活饮用水卫生标准。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ascii="方正仿宋简体" w:hAnsi="Calibri" w:eastAsia="方正仿宋简体" w:cs="Times New Roman"/>
          <w:kern w:val="0"/>
          <w:sz w:val="34"/>
          <w:szCs w:val="34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4"/>
          <w:szCs w:val="34"/>
          <w:lang w:val="zh-CN"/>
        </w:rPr>
        <w:t xml:space="preserve">    （七）操作过程符合国家市场总局《餐饮服务操作规范》（可上网下载），以及</w:t>
      </w:r>
      <w:r>
        <w:rPr>
          <w:rFonts w:hint="eastAsia" w:ascii="方正仿宋简体" w:hAnsi="宋体" w:eastAsia="方正仿宋简体" w:cs="Times New Roman"/>
          <w:kern w:val="0"/>
          <w:sz w:val="34"/>
          <w:szCs w:val="34"/>
        </w:rPr>
        <w:t>法律法规规定的其他条件。</w:t>
      </w:r>
    </w:p>
    <w:p>
      <w:pPr>
        <w:spacing w:line="600" w:lineRule="exact"/>
        <w:ind w:firstLine="680" w:firstLineChars="200"/>
        <w:rPr>
          <w:rFonts w:ascii="方正黑体简体" w:hAnsi="黑体" w:eastAsia="方正黑体简体" w:cs="Times New Roman"/>
          <w:sz w:val="34"/>
          <w:szCs w:val="34"/>
        </w:rPr>
      </w:pPr>
      <w:r>
        <w:rPr>
          <w:rFonts w:hint="eastAsia" w:ascii="方正黑体简体" w:hAnsi="黑体" w:eastAsia="方正黑体简体" w:cs="Times New Roman"/>
          <w:sz w:val="34"/>
          <w:szCs w:val="34"/>
        </w:rPr>
        <w:t>五、咨询电话</w:t>
      </w:r>
    </w:p>
    <w:p>
      <w:pPr>
        <w:spacing w:line="600" w:lineRule="exact"/>
        <w:ind w:firstLine="680" w:firstLineChars="200"/>
        <w:rPr>
          <w:rFonts w:ascii="方正黑体简体" w:hAnsi="黑体" w:eastAsia="方正黑体简体" w:cs="Times New Roman"/>
          <w:sz w:val="34"/>
          <w:szCs w:val="34"/>
        </w:rPr>
      </w:pPr>
      <w:r>
        <w:rPr>
          <w:rFonts w:hint="eastAsia" w:ascii="方正仿宋简体" w:hAnsi="宋体" w:eastAsia="方正仿宋简体" w:cs="Times New Roman"/>
          <w:kern w:val="0"/>
          <w:sz w:val="34"/>
          <w:szCs w:val="34"/>
        </w:rPr>
        <w:t>武清区市场监管局022-29587945，或拨打本辖区市场监管所电话。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854" w:h="509" w:hRule="exact" w:wrap="around" w:vAnchor="text" w:hAnchor="margin" w:xAlign="center" w:y="5"/>
      <w:rPr>
        <w:rStyle w:val="5"/>
        <w:rFonts w:ascii="方正仿宋简体" w:eastAsia="方正仿宋简体"/>
        <w:sz w:val="28"/>
        <w:szCs w:val="28"/>
      </w:rPr>
    </w:pPr>
    <w:r>
      <w:rPr>
        <w:rStyle w:val="5"/>
        <w:rFonts w:hint="eastAsia" w:ascii="方正仿宋简体" w:eastAsia="方正仿宋简体"/>
        <w:sz w:val="28"/>
        <w:szCs w:val="28"/>
      </w:rPr>
      <w:t>—</w:t>
    </w:r>
    <w:r>
      <w:rPr>
        <w:rStyle w:val="5"/>
        <w:rFonts w:hint="eastAsia" w:ascii="方正仿宋简体" w:eastAsia="方正仿宋简体"/>
        <w:sz w:val="28"/>
        <w:szCs w:val="28"/>
      </w:rPr>
      <w:fldChar w:fldCharType="begin"/>
    </w:r>
    <w:r>
      <w:rPr>
        <w:rStyle w:val="5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Style w:val="5"/>
        <w:rFonts w:hint="eastAsia" w:ascii="方正仿宋简体" w:eastAsia="方正仿宋简体"/>
        <w:sz w:val="28"/>
        <w:szCs w:val="28"/>
      </w:rPr>
      <w:fldChar w:fldCharType="separate"/>
    </w:r>
    <w:r>
      <w:rPr>
        <w:rStyle w:val="5"/>
        <w:rFonts w:ascii="方正仿宋简体" w:eastAsia="方正仿宋简体"/>
        <w:sz w:val="28"/>
        <w:szCs w:val="28"/>
      </w:rPr>
      <w:t>3</w:t>
    </w:r>
    <w:r>
      <w:rPr>
        <w:rStyle w:val="5"/>
        <w:rFonts w:hint="eastAsia" w:ascii="方正仿宋简体" w:eastAsia="方正仿宋简体"/>
        <w:sz w:val="28"/>
        <w:szCs w:val="28"/>
      </w:rPr>
      <w:fldChar w:fldCharType="end"/>
    </w:r>
    <w:r>
      <w:rPr>
        <w:rStyle w:val="5"/>
        <w:rFonts w:hint="eastAsia" w:ascii="方正仿宋简体" w:eastAsia="方正仿宋简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F1"/>
    <w:rsid w:val="005609F1"/>
    <w:rsid w:val="006C59D4"/>
    <w:rsid w:val="007366A8"/>
    <w:rsid w:val="009016AF"/>
    <w:rsid w:val="00CC0856"/>
    <w:rsid w:val="00EA02DD"/>
    <w:rsid w:val="2A86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163</Words>
  <Characters>931</Characters>
  <Lines>7</Lines>
  <Paragraphs>2</Paragraphs>
  <TotalTime>1</TotalTime>
  <ScaleCrop>false</ScaleCrop>
  <LinksUpToDate>false</LinksUpToDate>
  <CharactersWithSpaces>1092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2018-09-12T09:23:00Z</dcterms:created>
  <dc:creator>null</dc:creator>
  <cp:lastModifiedBy>lenovo</cp:lastModifiedBy>
  <dcterms:modified xsi:type="dcterms:W3CDTF">2018-09-21T08:36:34Z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