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C4" w:rsidRDefault="00E678CD">
      <w:pPr>
        <w:widowControl/>
        <w:textAlignment w:val="center"/>
        <w:rPr>
          <w:rFonts w:ascii="方正小标宋简体" w:eastAsia="方正小标宋简体" w:hAnsi="黑体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附件3：</w:t>
      </w:r>
    </w:p>
    <w:p w:rsidR="006857C4" w:rsidRDefault="00E678CD">
      <w:pPr>
        <w:pStyle w:val="1"/>
        <w:spacing w:line="600" w:lineRule="exact"/>
        <w:jc w:val="center"/>
        <w:rPr>
          <w:rFonts w:ascii="方正小标宋简体" w:eastAsia="方正小标宋简体" w:hAnsi="黑体"/>
          <w:b w:val="0"/>
        </w:rPr>
      </w:pPr>
      <w:r>
        <w:rPr>
          <w:rFonts w:ascii="方正小标宋简体" w:eastAsia="方正小标宋简体" w:hAnsi="黑体" w:hint="eastAsia"/>
          <w:b w:val="0"/>
        </w:rPr>
        <w:t>智能科技产业投融资论坛方案（拟）</w:t>
      </w:r>
    </w:p>
    <w:p w:rsidR="006857C4" w:rsidRDefault="00E678CD">
      <w:pPr>
        <w:spacing w:line="60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一、名称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智能科技产业投融资论坛</w:t>
      </w:r>
    </w:p>
    <w:p w:rsidR="006857C4" w:rsidRDefault="00E678C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二、主题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1.活动主题：</w:t>
      </w:r>
      <w:r>
        <w:rPr>
          <w:rFonts w:ascii="仿宋_GB2312" w:eastAsia="仿宋_GB2312" w:hAnsi="仿宋_GB2312" w:cs="仿宋_GB2312" w:hint="eastAsia"/>
          <w:sz w:val="32"/>
          <w:szCs w:val="32"/>
        </w:rPr>
        <w:t>产融结合——服务实体经济发展，助推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新时代变革。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2.亮点特色：本次论坛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将坚持改革统领、科技引领和</w:t>
      </w:r>
    </w:p>
    <w:p w:rsidR="006857C4" w:rsidRDefault="00E678CD">
      <w:pPr>
        <w:spacing w:line="600" w:lineRule="exact"/>
        <w:ind w:leftChars="532" w:left="1117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创新驱动，积极构建和完善以科技金融为核心的创新服务体系，引导金融回归本源，服务实体经济。通过邀请国内外知名专家学者和业界精英举办高端论坛的同时，在会场内部或大会指定区域设置综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合金融服务、融资对接、路演推介、成果展示、项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目签约等版块内容，推动资本助力智能产业发展，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创造智能产业全球合作机会，为国家智能产业投融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资发展作出积极贡献，为大会提供更完备的一站式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配套金融服务。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三、时间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2018年5月17日</w:t>
      </w:r>
      <w:r>
        <w:rPr>
          <w:rFonts w:ascii="仿宋_GB2312" w:eastAsia="仿宋_GB2312" w:hAnsi="仿宋" w:hint="eastAsia"/>
          <w:sz w:val="32"/>
        </w:rPr>
        <w:t>（星期四）09:00-12:00（以大会组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委会安排为准）</w:t>
      </w:r>
    </w:p>
    <w:p w:rsidR="006857C4" w:rsidRDefault="00E678C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四、会议地点</w:t>
      </w:r>
    </w:p>
    <w:p w:rsidR="006857C4" w:rsidRDefault="00E678CD">
      <w:pPr>
        <w:spacing w:line="600" w:lineRule="exact"/>
        <w:ind w:firstLineChars="300" w:firstLine="96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天津梅江会展中心N213会议室</w:t>
      </w:r>
    </w:p>
    <w:p w:rsidR="006857C4" w:rsidRDefault="00E678CD">
      <w:pPr>
        <w:spacing w:line="60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五、承办单位</w:t>
      </w:r>
    </w:p>
    <w:p w:rsidR="006857C4" w:rsidRDefault="00E678CD">
      <w:pPr>
        <w:spacing w:line="56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1.牵头单位：</w:t>
      </w:r>
      <w:r>
        <w:rPr>
          <w:rFonts w:ascii="仿宋_GB2312" w:eastAsia="仿宋_GB2312" w:hAnsi="黑体" w:hint="eastAsia"/>
          <w:sz w:val="32"/>
          <w:szCs w:val="32"/>
        </w:rPr>
        <w:t>天津市金融工作局</w:t>
      </w:r>
    </w:p>
    <w:p w:rsidR="006857C4" w:rsidRDefault="00E678CD">
      <w:pPr>
        <w:spacing w:line="56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2.承办单位：东丽区人民政府</w:t>
      </w:r>
    </w:p>
    <w:p w:rsidR="006857C4" w:rsidRDefault="00E678CD">
      <w:pPr>
        <w:spacing w:line="560" w:lineRule="exact"/>
        <w:ind w:firstLineChars="900" w:firstLine="28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天津海河产业基金管理有限公司</w:t>
      </w:r>
    </w:p>
    <w:p w:rsidR="006857C4" w:rsidRDefault="00E678CD">
      <w:pPr>
        <w:tabs>
          <w:tab w:val="left" w:pos="1418"/>
        </w:tabs>
        <w:spacing w:line="600" w:lineRule="exact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3.第一责任人：天津市金融工作局党委书记、局长聂</w:t>
      </w:r>
    </w:p>
    <w:p w:rsidR="006857C4" w:rsidRDefault="00E678CD">
      <w:pPr>
        <w:tabs>
          <w:tab w:val="left" w:pos="1418"/>
        </w:tabs>
        <w:spacing w:line="600" w:lineRule="exact"/>
        <w:ind w:firstLineChars="1000" w:firstLine="32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伟迅</w:t>
      </w:r>
    </w:p>
    <w:p w:rsidR="006857C4" w:rsidRDefault="00E678CD">
      <w:pPr>
        <w:tabs>
          <w:tab w:val="left" w:pos="709"/>
          <w:tab w:val="left" w:pos="851"/>
        </w:tabs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六、议程（拟）</w:t>
      </w:r>
    </w:p>
    <w:p w:rsidR="006857C4" w:rsidRDefault="00E678CD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会议由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中央电视台特约评论员杨禹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主持（拟）</w:t>
      </w:r>
    </w:p>
    <w:tbl>
      <w:tblPr>
        <w:tblW w:w="7675" w:type="dxa"/>
        <w:tblInd w:w="711" w:type="dxa"/>
        <w:tblLayout w:type="fixed"/>
        <w:tblLook w:val="04A0" w:firstRow="1" w:lastRow="0" w:firstColumn="1" w:lastColumn="0" w:noHBand="0" w:noVBand="1"/>
      </w:tblPr>
      <w:tblGrid>
        <w:gridCol w:w="2784"/>
        <w:gridCol w:w="4891"/>
      </w:tblGrid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:30—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:00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ab/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播放暖场音乐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宣传视频；嘉宾签到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入席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:45—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:00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领导会见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:00—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:05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主持人开场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，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介绍与会领导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、重要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嘉宾；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09:05—09:15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拟请天津市政府领导致辞；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09:15—09:25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拟请天津市金融工作局领导致辞；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09:25—09:35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拟请天津市东丽区政府领导致辞；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09:35—09:50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题演讲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：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金融助力科技进步，产业推动中国领跑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；</w:t>
            </w:r>
          </w:p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演讲嘉宾：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清华大学天津高端装备研究院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院长雒建斌；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09:50—10:05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题演讲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：产城融合与可持续发展；</w:t>
            </w:r>
          </w:p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lastRenderedPageBreak/>
              <w:t>演讲嘉宾：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中国水利水电科学研究院水资源所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名誉所长王浩；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10:05—10:20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题演讲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产融结合，推动人类生活方式改变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；</w:t>
            </w:r>
          </w:p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演讲嘉宾：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法国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SES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高管；</w:t>
            </w:r>
          </w:p>
        </w:tc>
      </w:tr>
      <w:tr w:rsidR="006857C4">
        <w:trPr>
          <w:trHeight w:val="656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10:20—10:35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题演讲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加速与进化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；</w:t>
            </w:r>
          </w:p>
          <w:p w:rsidR="006857C4" w:rsidRDefault="00E678CD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演讲嘉宾：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硅谷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PNP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孵化器中国区总经理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10:35—11:00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项目签约：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海河基金、中丽基金相关重大产业项目及天津市各区县优质产融项目等，举办项目合作签约仪式，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为成果性项目提供对外宣传发布平台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。（包含海河基金、中丽基金相关产业项目及中瑞医疗产业园、东丽区河道治理项目等）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11:00—11:20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圆桌对话：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邀请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四至五位重量级行业领袖、特邀嘉宾各抒己见，从不同角度阐释智能产业投融资方面的思考。拟邀请天津市海河产业基金管理有限公司、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东丽湖管委会（主要围绕科技金融与产业，结合东丽区科创小镇）、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中丽（天津）产城融合发展基金管理有限公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lastRenderedPageBreak/>
              <w:t>司、海尔集团、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IDG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资本、红杉资本、高瓴资本、中国与世界经济研究中心等产业投融资领域权威人士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和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学术理论研究专家共同探讨分享各自的观点。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11:20—11:30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现场互动提问；</w:t>
            </w:r>
          </w:p>
        </w:tc>
      </w:tr>
      <w:tr w:rsidR="006857C4">
        <w:trPr>
          <w:trHeight w:val="394"/>
        </w:trPr>
        <w:tc>
          <w:tcPr>
            <w:tcW w:w="2784" w:type="dxa"/>
          </w:tcPr>
          <w:p w:rsidR="006857C4" w:rsidRDefault="00E678CD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11:30—12:00</w:t>
            </w:r>
          </w:p>
        </w:tc>
        <w:tc>
          <w:tcPr>
            <w:tcW w:w="4891" w:type="dxa"/>
          </w:tcPr>
          <w:p w:rsidR="006857C4" w:rsidRDefault="00E678CD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项目撮合对接环节：在会场后部设置对接桌，组织会前预对接企业、机构等进行项目深度交流沟通，力争达成意向合作。</w:t>
            </w:r>
          </w:p>
        </w:tc>
      </w:tr>
    </w:tbl>
    <w:p w:rsidR="006857C4" w:rsidRDefault="00E678CD">
      <w:pPr>
        <w:tabs>
          <w:tab w:val="left" w:pos="567"/>
        </w:tabs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七、参会嘉宾名单（拟）</w:t>
      </w:r>
    </w:p>
    <w:p w:rsidR="006857C4" w:rsidRDefault="00E678C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拟参会人员150人。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  浩流域水循环模拟与调控国家重点实验室</w:t>
      </w:r>
    </w:p>
    <w:p w:rsidR="006857C4" w:rsidRDefault="00E678CD">
      <w:pPr>
        <w:spacing w:line="600" w:lineRule="exact"/>
        <w:ind w:firstLineChars="825" w:firstLine="2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中国水利水电科学研究院水资源所主任、</w:t>
      </w:r>
    </w:p>
    <w:p w:rsidR="006857C4" w:rsidRDefault="00E678CD">
      <w:pPr>
        <w:spacing w:line="600" w:lineRule="exact"/>
        <w:ind w:firstLineChars="825" w:firstLine="2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名誉所长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雒建斌  清华大学天津高端装备研究院院长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Michael I.Jordan加州大学伯克利分校教授全球人</w:t>
      </w:r>
    </w:p>
    <w:p w:rsidR="006857C4" w:rsidRDefault="00E678CD">
      <w:pPr>
        <w:spacing w:line="60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工智能鼻祖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Alvin Roth哈佛商学院教授，共享经济之父2012</w:t>
      </w:r>
    </w:p>
    <w:p w:rsidR="006857C4" w:rsidRDefault="00E678CD">
      <w:pPr>
        <w:spacing w:line="60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诺奖得主</w:t>
      </w:r>
    </w:p>
    <w:p w:rsidR="006857C4" w:rsidRDefault="00E678CD">
      <w:pPr>
        <w:tabs>
          <w:tab w:val="left" w:pos="2694"/>
          <w:tab w:val="left" w:pos="2835"/>
        </w:tabs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颜水成</w:t>
      </w:r>
      <w:r>
        <w:rPr>
          <w:rFonts w:ascii="仿宋_GB2312" w:eastAsia="仿宋_GB2312" w:hAnsi="仿宋" w:hint="eastAsia"/>
          <w:sz w:val="32"/>
          <w:szCs w:val="32"/>
        </w:rPr>
        <w:tab/>
        <w:t>360人工智能研究院院长</w:t>
      </w:r>
    </w:p>
    <w:p w:rsidR="006857C4" w:rsidRDefault="00E678CD">
      <w:pPr>
        <w:spacing w:line="600" w:lineRule="exact"/>
        <w:ind w:leftChars="475" w:left="2598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何晓飞   滴滴出行高级副总裁、滴滴研究院院长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雷  军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小米科技董事长兼CEO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杨元庆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联想集团总裁兼首席执行官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林元庆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爱笔科技董事长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张瑞敏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青岛海尔股份有限公司董事局主席、CEO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王东升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京东方科技集团董事长 </w:t>
      </w:r>
    </w:p>
    <w:p w:rsidR="006857C4" w:rsidRDefault="00E678CD">
      <w:pPr>
        <w:tabs>
          <w:tab w:val="left" w:pos="2694"/>
        </w:tabs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王锦虹</w:t>
      </w:r>
      <w:r>
        <w:rPr>
          <w:rFonts w:ascii="仿宋_GB2312" w:eastAsia="仿宋_GB2312" w:hAnsi="仿宋" w:hint="eastAsia"/>
          <w:sz w:val="32"/>
          <w:szCs w:val="32"/>
        </w:rPr>
        <w:tab/>
        <w:t>海河产业基金董事长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孔爱祥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浙江兆丰机电股份有限公司董事长</w:t>
      </w:r>
    </w:p>
    <w:p w:rsidR="006857C4" w:rsidRDefault="00E678CD">
      <w:pPr>
        <w:tabs>
          <w:tab w:val="left" w:pos="1418"/>
        </w:tabs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徐冰</w: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" w:hAnsi="仿宋" w:hint="eastAsia"/>
          <w:sz w:val="32"/>
          <w:szCs w:val="32"/>
        </w:rPr>
        <w:t>商汤科技联合创始人、副总裁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孔祥志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易车网副总裁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王育林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金山云首席执行官</w:t>
      </w:r>
    </w:p>
    <w:p w:rsidR="006857C4" w:rsidRDefault="00E678CD">
      <w:pPr>
        <w:spacing w:line="600" w:lineRule="exact"/>
        <w:ind w:leftChars="475" w:left="998"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何小鹏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小鹏汽车董事长</w:t>
      </w:r>
    </w:p>
    <w:p w:rsidR="006857C4" w:rsidRDefault="00E678CD">
      <w:pPr>
        <w:tabs>
          <w:tab w:val="left" w:pos="2694"/>
        </w:tabs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张金金</w:t>
      </w:r>
      <w:r>
        <w:rPr>
          <w:rFonts w:ascii="仿宋_GB2312" w:eastAsia="仿宋_GB2312" w:hAnsi="仿宋" w:hint="eastAsia"/>
          <w:sz w:val="32"/>
          <w:szCs w:val="32"/>
        </w:rPr>
        <w:tab/>
        <w:t>小鹏汽车副总裁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黄耀文</w:t>
      </w:r>
      <w:r>
        <w:rPr>
          <w:rFonts w:ascii="仿宋_GB2312" w:eastAsia="仿宋_GB2312" w:hAnsi="仿宋" w:hint="eastAsia"/>
          <w:sz w:val="32"/>
          <w:szCs w:val="32"/>
        </w:rPr>
        <w:tab/>
        <w:t>中国国新控股有限责任公司副总经理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王新卫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华兴资本集团董事总经理、CFO 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路军</w:t>
      </w:r>
      <w:r>
        <w:rPr>
          <w:rFonts w:ascii="仿宋_GB2312" w:eastAsia="仿宋_GB2312" w:hAnsi="仿宋" w:hint="eastAsia"/>
          <w:sz w:val="32"/>
          <w:szCs w:val="32"/>
        </w:rPr>
        <w:tab/>
        <w:t>华芯投资管理有限责任公司董事长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白国光</w:t>
      </w:r>
      <w:r>
        <w:rPr>
          <w:rFonts w:ascii="仿宋_GB2312" w:eastAsia="仿宋_GB2312" w:hAnsi="仿宋" w:hint="eastAsia"/>
          <w:sz w:val="32"/>
          <w:szCs w:val="32"/>
        </w:rPr>
        <w:tab/>
        <w:t>国投创新投资管理有限公司总经理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张朝辉</w:t>
      </w:r>
      <w:r>
        <w:rPr>
          <w:rFonts w:ascii="仿宋_GB2312" w:eastAsia="仿宋_GB2312" w:hAnsi="仿宋" w:hint="eastAsia"/>
          <w:sz w:val="32"/>
          <w:szCs w:val="32"/>
        </w:rPr>
        <w:tab/>
        <w:t>诚通基金管理有限公司副总经理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张胜</w:t>
      </w:r>
      <w:r>
        <w:rPr>
          <w:rFonts w:ascii="仿宋_GB2312" w:eastAsia="仿宋_GB2312" w:hAnsi="仿宋" w:hint="eastAsia"/>
          <w:sz w:val="32"/>
          <w:szCs w:val="32"/>
        </w:rPr>
        <w:tab/>
        <w:t>中民投首席投资官</w:t>
      </w:r>
    </w:p>
    <w:p w:rsidR="006857C4" w:rsidRDefault="00E678CD">
      <w:pPr>
        <w:tabs>
          <w:tab w:val="left" w:pos="2694"/>
        </w:tabs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李稻葵   中国与世界经济研究中心主任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张维迎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北京大学国家发展研究院教授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曹远征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中国银行首席经济学家</w:t>
      </w:r>
    </w:p>
    <w:p w:rsidR="006857C4" w:rsidRDefault="00E678CD">
      <w:pPr>
        <w:spacing w:line="600" w:lineRule="exact"/>
        <w:ind w:leftChars="475" w:left="2598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田溯宁</w:t>
      </w:r>
      <w:r>
        <w:rPr>
          <w:rFonts w:ascii="仿宋_GB2312" w:eastAsia="仿宋_GB2312" w:hAnsi="仿宋" w:hint="eastAsia"/>
          <w:sz w:val="32"/>
          <w:szCs w:val="32"/>
        </w:rPr>
        <w:tab/>
        <w:t>中国宽带资本基金董事长、联想集团独立非执行董事、美国哈佛商学院顾问委员会委员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熊晓鸽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IDG资本全球董事长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沈南鹏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红杉资本全球执行合伙人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蒲晓燕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红杉资本中国基金合伙人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张磊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高瓴资本创始人兼首席执行官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马源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高瓴资本董事总经理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李建光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IDG技术创业投资基金合伙人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曲阳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海河产业基金副总经理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张文莹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海河产业基金总经理助理</w:t>
      </w:r>
    </w:p>
    <w:p w:rsidR="006857C4" w:rsidRDefault="00E678CD">
      <w:pPr>
        <w:tabs>
          <w:tab w:val="left" w:pos="2552"/>
          <w:tab w:val="left" w:pos="2694"/>
          <w:tab w:val="left" w:pos="2835"/>
        </w:tabs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段兰春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凯辉基金管理合伙人</w:t>
      </w:r>
    </w:p>
    <w:p w:rsidR="006857C4" w:rsidRDefault="00E678CD">
      <w:pPr>
        <w:tabs>
          <w:tab w:val="left" w:pos="1418"/>
        </w:tabs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王俊沣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中丽基金董事长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薛村禾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软银中国创始人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倪泽望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深创投董事长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阎焱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赛富投资创始合伙人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刘东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平安资本管理合伙人</w:t>
      </w:r>
    </w:p>
    <w:p w:rsidR="006857C4" w:rsidRDefault="00E678CD">
      <w:pPr>
        <w:tabs>
          <w:tab w:val="left" w:pos="2552"/>
        </w:tabs>
        <w:spacing w:line="600" w:lineRule="exact"/>
        <w:ind w:left="127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王振宇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鼎晖投资合伙人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盛希泰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洪泰资本控股创始人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殷哲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歌斐资本CEO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薛峰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光大证券董事长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冯鹤年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民生证券董事长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刘剑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赛领资本总裁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赖淦峰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天润数娱董事长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王森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北京文投合伙人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范军波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长江资本总裁</w:t>
      </w:r>
    </w:p>
    <w:p w:rsidR="006857C4" w:rsidRDefault="00E678CD">
      <w:pPr>
        <w:tabs>
          <w:tab w:val="left" w:pos="1418"/>
          <w:tab w:val="left" w:pos="2694"/>
        </w:tabs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查向阳</w:t>
      </w:r>
      <w:r>
        <w:rPr>
          <w:rFonts w:ascii="仿宋_GB2312" w:eastAsia="仿宋_GB2312" w:hAnsi="仿宋" w:hint="eastAsia"/>
          <w:sz w:val="32"/>
          <w:szCs w:val="32"/>
        </w:rPr>
        <w:tab/>
        <w:t>厚朴基金合伙人</w:t>
      </w:r>
    </w:p>
    <w:p w:rsidR="006857C4" w:rsidRDefault="00E678CD">
      <w:pPr>
        <w:spacing w:line="600" w:lineRule="exact"/>
        <w:ind w:left="1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王一军</w:t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中国风投总经理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伍朝阳   力鼎资本董事长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王思雪   晨兴资本总监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周炜   创世伙伴资本合伙人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吴世春   梅花天使创投合伙人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晏小平   晨晖资本合伙人</w:t>
      </w:r>
      <w:r>
        <w:rPr>
          <w:rFonts w:ascii="仿宋_GB2312" w:eastAsia="仿宋_GB2312" w:hAnsi="仿宋" w:hint="eastAsia"/>
          <w:sz w:val="32"/>
          <w:szCs w:val="32"/>
        </w:rPr>
        <w:tab/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韩越   春晓资本合伙人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洪雷   天创协会总经理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张扬   华控基金创始人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傅哲宽   启赋资本董事长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郑靖伟   靖亚资本合伙人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王求乐   名川资本合伙人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杨睿   天津滨海财富投资有限公司执行董事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徐捷   大通盈泰资产管理有限公司总经理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王榕略   天津星星投资管理有限公司总经理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曹振岭   中国民生投资股份有限公司董事长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王沛尧   上古投资控股集团有限公司董事长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郭磊   天津清研陆石投资管理有限公司总经理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朱长陆   天津合盈资产管理有限公司执行董事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陈晓峰   中科院创业投资管理有限公司董事长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郭磊   天津清研陆石投资管理有限公司总经理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徐洁   青岛海尔创投母基金高级募资经理</w:t>
      </w:r>
    </w:p>
    <w:p w:rsidR="006857C4" w:rsidRDefault="00E678CD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周伟丽   安芙兰资本董事长</w:t>
      </w:r>
    </w:p>
    <w:p w:rsidR="006857C4" w:rsidRDefault="006857C4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</w:p>
    <w:p w:rsidR="006857C4" w:rsidRDefault="006857C4">
      <w:pPr>
        <w:spacing w:line="6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</w:p>
    <w:p w:rsidR="006857C4" w:rsidRDefault="00E678CD">
      <w:pPr>
        <w:tabs>
          <w:tab w:val="left" w:pos="567"/>
        </w:tabs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八、演讲嘉宾简介（拟）</w:t>
      </w:r>
    </w:p>
    <w:p w:rsidR="006857C4" w:rsidRDefault="00E678CD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149860</wp:posOffset>
            </wp:positionV>
            <wp:extent cx="1130300" cy="1581150"/>
            <wp:effectExtent l="0" t="0" r="12700" b="0"/>
            <wp:wrapSquare wrapText="bothSides"/>
            <wp:docPr id="1" name="图片 1" descr="说明: https://gss2.bdstatic.com/-fo3dSag_xI4khGkpoWK1HF6hhy/baike/w%3D268%3Bg%3D0/sign=14231cb281d4b31cf03c93bdbfed4042/2cf5e0fe9925bc3102ae066954df8db1ca137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s://gss2.bdstatic.com/-fo3dSag_xI4khGkpoWK1HF6hhy/baike/w%3D268%3Bg%3D0/sign=14231cb281d4b31cf03c93bdbfed4042/2cf5e0fe9925bc3102ae066954df8db1ca13704b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雒建斌，</w:t>
      </w:r>
      <w:hyperlink r:id="rId8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中国科学院院士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hyperlink r:id="rId9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清华大学精密仪器与机械学系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长江学者特聘教授。1982年毕业于</w:t>
      </w:r>
      <w:hyperlink r:id="rId10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东北大学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，1985年至1988年在</w:t>
      </w:r>
      <w:hyperlink r:id="rId11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西安建筑科技大学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读研究生，并获</w:t>
      </w:r>
      <w:hyperlink r:id="rId12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西安建筑科技大学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硕士学位，1994年获</w:t>
      </w:r>
      <w:hyperlink r:id="rId13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清华大学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博士学位。现任清华大学</w:t>
      </w:r>
      <w:hyperlink r:id="rId14" w:tgtFrame="_blank" w:history="1">
        <w:r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摩擦学国家重点实验室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主任。2011年当选为中国科学院院士。</w:t>
      </w:r>
    </w:p>
    <w:p w:rsidR="006857C4" w:rsidRDefault="00E678CD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128905</wp:posOffset>
            </wp:positionV>
            <wp:extent cx="1170305" cy="1560830"/>
            <wp:effectExtent l="0" t="0" r="10795" b="1270"/>
            <wp:wrapSquare wrapText="bothSides"/>
            <wp:docPr id="2" name="图片 2" descr="说明: https://gss1.bdstatic.com/9vo3dSag_xI4khGkpoWK1HF6hhy/baike/c0%3Dbaike180%2C5%2C5%2C180%2C60/sign=677b2e90017b020818c437b303b099b6/f31fbe096b63f624621d3f368c44ebf81a4ca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https://gss1.bdstatic.com/9vo3dSag_xI4khGkpoWK1HF6hhy/baike/c0%3Dbaike180%2C5%2C5%2C180%2C60/sign=677b2e90017b020818c437b303b099b6/f31fbe096b63f624621d3f368c44ebf81a4ca346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王浩，1989年毕业于清华大学获博士学位。中国工程院院士，水文学及水资源学家，教授级高工，博士生导师。现任流域水循环模拟与调控国家重点实验室主任，中国水利水电科学研究院水资源所名誉所长，享受政府特殊津贴。兼任中国可持续发展研究会理事长、中国水资源战略研究会常务副理事长、中国自然资源学会副理事长、全球水伙伴（中国）副主席等。获联合国“全球人居环境奖”被授予“全国先进工作者”、“中央国家机关五一劳动奖章”等荣誉称号。出版专著36部，申请专利90余项，发表学术论文450余篇，获国家科学技术进步奖一等奖1项，国家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学技术进步奖二等奖7项；省部级特等奖1项，一等奖21项，省部级其他奖励10余项。2016年10月被水利部聘任为</w:t>
      </w:r>
      <w:hyperlink r:id="rId16" w:tgtFrame="_blank" w:history="1">
        <w:r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水利部参事咨询委员会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委员。</w:t>
      </w:r>
    </w:p>
    <w:p w:rsidR="006857C4" w:rsidRDefault="00E678CD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139700</wp:posOffset>
            </wp:positionV>
            <wp:extent cx="1085850" cy="1596390"/>
            <wp:effectExtent l="0" t="0" r="0" b="3810"/>
            <wp:wrapSquare wrapText="bothSides"/>
            <wp:docPr id="3" name="图片 3" descr="说明: https://gss1.bdstatic.com/9vo3dSag_xI4khGkpoWK1HF6hhy/baike/w%3D268%3Bg%3D0/sign=8b48cb2b6d224f4a5799741531ccf76f/c83d70cf3bc79f3dc16f593dbaa1cd11728b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https://gss1.bdstatic.com/9vo3dSag_xI4khGkpoWK1HF6hhy/baike/w%3D268%3Bg%3D0/sign=8b48cb2b6d224f4a5799741531ccf76f/c83d70cf3bc79f3dc16f593dbaa1cd11728b2934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李稻葵，</w:t>
      </w:r>
      <w:hyperlink r:id="rId18" w:tgtFrame="_blank" w:history="1">
        <w:r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清华大学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经济管理学院Freeman经济学讲席教授，清华大学苏世民书院原院长， 博士生导师，长江学者特聘教授。原</w:t>
      </w:r>
      <w:hyperlink r:id="rId19" w:tgtFrame="_blank" w:history="1">
        <w:r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央行货币政策委员会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委员，十一届全国政协委员，清华大学金融系主任，中国与世界经济研究中心(CCWE)主任。清华大学管理学学士（1985年），</w:t>
      </w:r>
      <w:hyperlink r:id="rId20" w:tgtFrame="_blank" w:history="1">
        <w:r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美国</w:t>
        </w:r>
      </w:hyperlink>
      <w:hyperlink r:id="rId21" w:tgtFrame="_blank" w:history="1">
        <w:r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哈佛大学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经济学博士（1992年）。2011年5月初，李稻葵发表文章指责“个税体制设计极其简陋，甚至‘弱智’，他建议实施</w:t>
      </w:r>
      <w:hyperlink r:id="rId22" w:tgtFrame="_blank" w:history="1">
        <w:r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平税制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。此观点甫一发布，立即引发强烈反响。</w:t>
      </w:r>
    </w:p>
    <w:p w:rsidR="006857C4" w:rsidRDefault="00E678CD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148590</wp:posOffset>
            </wp:positionV>
            <wp:extent cx="1125855" cy="1624965"/>
            <wp:effectExtent l="0" t="0" r="17145" b="13335"/>
            <wp:wrapSquare wrapText="bothSides"/>
            <wp:docPr id="4" name="图片 4" descr="roth_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roth_postcard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阿尔文·罗斯（Alvin Roth），生于1951年12月19日，美国经济学家，目前担任哈佛大学商学院经济学与工商管理乔治·冈德教授。1971年毕业于克伦比亚大学，主修运筹学，其后又在斯坦福大学获得了硕士和博士学位。离开斯坦福之后，罗斯直到1982年一直在伊利诺斯大学任教。此后他在匹兹堡大学担任安德鲁-梅隆经济学教授直到1998年，之后他加入哈佛大学并在此工作至今。罗斯是美国杰出年轻教授奖：斯隆奖的获得者，古根海姆基金会会士，美国艺术和科学院院士。他还是美国国家经济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究局(NBER)和美国计量经济学学会成员。罗斯在博弈论、市场设计与实验经济学取得卓越贡献。主要著作包括:谈判的博弈论模型（1985）、《实验经济学：六个观点》（1987，2008年翻译为中文版）、《实验经济学手册》（1995）、《鲍勃·威尔逊传统中的经济学（2001）等。</w:t>
      </w:r>
    </w:p>
    <w:p w:rsidR="006857C4" w:rsidRDefault="00E678CD">
      <w:pP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200660</wp:posOffset>
            </wp:positionV>
            <wp:extent cx="1215390" cy="1622425"/>
            <wp:effectExtent l="0" t="0" r="3810" b="15875"/>
            <wp:wrapSquare wrapText="bothSides"/>
            <wp:docPr id="5" name="图片 5" descr="29b8cd0f-5d4c-41db-a907-313e7a59d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9b8cd0f-5d4c-41db-a907-313e7a59d041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Michael I.Jordan，加州大学伯克利分校电子工程系、计算机科学和统计系的陈丕宏杰出教授。他在亚利桑那州立大学获得了数学硕士学位，并且在1985年从加利福尼亚大学圣地亚哥分校获得了认知学博士学位。自1988年到1998年，乔丹在麻省理工学院任教授，他的研究方向包括了计算学、统计学、认知科学以及生物科学，最近几年集中在贝叶斯非参数分析，概率图模型，谱方法，核方法和在分布式计算系统、自然语言处理、信号处理和统计遗传学等问题的应用上。乔丹教授是美国国家工程学院院士、科学院院士和美国艺术和科学学院院士。同时，他还是美国科学进步协会的资深会员。他被数理统计研究所任命为奈曼讲师和奖章讲师。在2015年，他获得了David E. Rumelhart奖；在2009年，他获得了ACM/AAAI的Allen Newell奖。同时，他是AAAI、ACM、ASA、CSS、IEEE、IMS、ISBA和SIAM的成员。</w:t>
      </w:r>
    </w:p>
    <w:p w:rsidR="006857C4" w:rsidRDefault="006857C4"/>
    <w:sectPr w:rsidR="006857C4" w:rsidSect="0068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0BC" w:rsidRDefault="003640BC" w:rsidP="00E539B1">
      <w:r>
        <w:separator/>
      </w:r>
    </w:p>
  </w:endnote>
  <w:endnote w:type="continuationSeparator" w:id="0">
    <w:p w:rsidR="003640BC" w:rsidRDefault="003640BC" w:rsidP="00E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0BC" w:rsidRDefault="003640BC" w:rsidP="00E539B1">
      <w:r>
        <w:separator/>
      </w:r>
    </w:p>
  </w:footnote>
  <w:footnote w:type="continuationSeparator" w:id="0">
    <w:p w:rsidR="003640BC" w:rsidRDefault="003640BC" w:rsidP="00E5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7512205"/>
    <w:rsid w:val="00025941"/>
    <w:rsid w:val="003640BC"/>
    <w:rsid w:val="006857C4"/>
    <w:rsid w:val="00AE3062"/>
    <w:rsid w:val="00AF6808"/>
    <w:rsid w:val="00BE783D"/>
    <w:rsid w:val="00CA33D6"/>
    <w:rsid w:val="00E539B1"/>
    <w:rsid w:val="00E678CD"/>
    <w:rsid w:val="12EC15C7"/>
    <w:rsid w:val="1C9618FE"/>
    <w:rsid w:val="6D535020"/>
    <w:rsid w:val="77512205"/>
    <w:rsid w:val="7827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BE8D13"/>
  <w15:docId w15:val="{C5CACBEC-B8F5-4E79-B12A-BBD0708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7C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857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7C4"/>
    <w:rPr>
      <w:color w:val="0000FF"/>
      <w:u w:val="single"/>
    </w:rPr>
  </w:style>
  <w:style w:type="table" w:styleId="a4">
    <w:name w:val="Table Grid"/>
    <w:basedOn w:val="a1"/>
    <w:qFormat/>
    <w:rsid w:val="00685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正文 A"/>
    <w:qFormat/>
    <w:rsid w:val="006857C4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rsid w:val="00E5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539B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rsid w:val="00E5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539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7%A7%91%E5%AD%A6%E9%99%A2%E9%99%A2%E5%A3%AB" TargetMode="External"/><Relationship Id="rId13" Type="http://schemas.openxmlformats.org/officeDocument/2006/relationships/hyperlink" Target="https://baike.baidu.com/item/%E6%B8%85%E5%8D%8E%E5%A4%A7%E5%AD%A6/111764" TargetMode="External"/><Relationship Id="rId18" Type="http://schemas.openxmlformats.org/officeDocument/2006/relationships/hyperlink" Target="https://baike.baidu.com/item/%E6%B8%85%E5%8D%8E%E5%A4%A7%E5%AD%A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ike.baidu.com/item/%E5%93%88%E4%BD%9B%E5%A4%A7%E5%AD%A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aike.baidu.com/item/%E8%A5%BF%E5%AE%89%E5%BB%BA%E7%AD%91%E7%A7%91%E6%8A%80%E5%A4%A7%E5%AD%A6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6%B0%B4%E5%88%A9%E9%83%A8%E5%8F%82%E4%BA%8B%E5%92%A8%E8%AF%A2%E5%A7%94%E5%91%98%E4%BC%9A" TargetMode="External"/><Relationship Id="rId20" Type="http://schemas.openxmlformats.org/officeDocument/2006/relationships/hyperlink" Target="https://baike.baidu.com/item/%E7%BE%8E%E5%9B%BD/12548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8%A5%BF%E5%AE%89%E5%BB%BA%E7%AD%91%E7%A7%91%E6%8A%80%E5%A4%A7%E5%AD%A6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10" Type="http://schemas.openxmlformats.org/officeDocument/2006/relationships/hyperlink" Target="https://baike.baidu.com/item/%E4%B8%9C%E5%8C%97%E5%A4%A7%E5%AD%A6/18014" TargetMode="External"/><Relationship Id="rId19" Type="http://schemas.openxmlformats.org/officeDocument/2006/relationships/hyperlink" Target="https://baike.baidu.com/item/%E5%A4%AE%E8%A1%8C%E8%B4%A7%E5%B8%81%E6%94%BF%E7%AD%96%E5%A7%94%E5%91%98%E4%BC%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B8%85%E5%8D%8E%E5%A4%A7%E5%AD%A6%E7%B2%BE%E5%AF%86%E4%BB%AA%E5%99%A8%E4%B8%8E%E6%9C%BA%E6%A2%B0%E5%AD%A6%E7%B3%BB" TargetMode="External"/><Relationship Id="rId14" Type="http://schemas.openxmlformats.org/officeDocument/2006/relationships/hyperlink" Target="https://baike.baidu.com/item/%E6%91%A9%E6%93%A6%E5%AD%A6%E5%9B%BD%E5%AE%B6%E9%87%8D%E7%82%B9%E5%AE%9E%E9%AA%8C%E5%AE%A4" TargetMode="External"/><Relationship Id="rId22" Type="http://schemas.openxmlformats.org/officeDocument/2006/relationships/hyperlink" Target="https://baike.baidu.com/item/%E5%B9%B3%E7%A8%8E%E5%88%B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10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等待1403234822</dc:creator>
  <cp:lastModifiedBy>孔祥凤</cp:lastModifiedBy>
  <cp:revision>5</cp:revision>
  <cp:lastPrinted>2018-03-29T02:35:00Z</cp:lastPrinted>
  <dcterms:created xsi:type="dcterms:W3CDTF">2018-03-29T02:08:00Z</dcterms:created>
  <dcterms:modified xsi:type="dcterms:W3CDTF">2018-04-10T08:13:00Z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